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5D56" w:rsidRDefault="008A5D56" w:rsidP="008A5D56">
      <w:pPr>
        <w:pStyle w:val="Standard"/>
        <w:jc w:val="center"/>
        <w:rPr>
          <w:b/>
          <w:bCs/>
        </w:rPr>
      </w:pPr>
      <w:r>
        <w:rPr>
          <w:b/>
          <w:bCs/>
        </w:rPr>
        <w:t>WYKAZ</w:t>
      </w:r>
    </w:p>
    <w:p w:rsidR="008A5D56" w:rsidRDefault="008A5D56" w:rsidP="008A5D56">
      <w:pPr>
        <w:pStyle w:val="Standard"/>
        <w:jc w:val="center"/>
        <w:rPr>
          <w:b/>
          <w:bCs/>
        </w:rPr>
      </w:pPr>
    </w:p>
    <w:p w:rsidR="008A5D56" w:rsidRDefault="008A5D56" w:rsidP="008A5D56">
      <w:pPr>
        <w:pStyle w:val="Standard"/>
        <w:jc w:val="center"/>
        <w:rPr>
          <w:b/>
          <w:bCs/>
        </w:rPr>
      </w:pPr>
      <w:r>
        <w:rPr>
          <w:b/>
          <w:bCs/>
        </w:rPr>
        <w:t>nieruchomości przeznaczonej do sprzedaży w trybie bezprzetargowym na rzecz głównego najemcy</w:t>
      </w:r>
    </w:p>
    <w:p w:rsidR="008A5D56" w:rsidRDefault="008A5D56" w:rsidP="008A5D56">
      <w:pPr>
        <w:pStyle w:val="Standard"/>
        <w:jc w:val="center"/>
        <w:rPr>
          <w:b/>
          <w:bCs/>
        </w:rPr>
      </w:pPr>
    </w:p>
    <w:tbl>
      <w:tblPr>
        <w:tblW w:w="145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1634"/>
        <w:gridCol w:w="750"/>
        <w:gridCol w:w="885"/>
        <w:gridCol w:w="3164"/>
        <w:gridCol w:w="1811"/>
        <w:gridCol w:w="1456"/>
        <w:gridCol w:w="1456"/>
        <w:gridCol w:w="1243"/>
        <w:gridCol w:w="1670"/>
      </w:tblGrid>
      <w:tr w:rsidR="008A5D56" w:rsidTr="008A5D56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Nieruchomość </w:t>
            </w:r>
            <w:proofErr w:type="spellStart"/>
            <w:r>
              <w:rPr>
                <w:sz w:val="20"/>
                <w:szCs w:val="20"/>
              </w:rPr>
              <w:t>ozn</w:t>
            </w:r>
            <w:proofErr w:type="spellEnd"/>
            <w:r>
              <w:rPr>
                <w:sz w:val="20"/>
                <w:szCs w:val="20"/>
              </w:rPr>
              <w:t>. KW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geod. działki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Pow. działki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nieruchomości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Przeznaczenie w MPZP i sposób zagospodarowania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sprzedaży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nieruchomości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zapłaty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8A5D56" w:rsidTr="008A5D56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A5D56" w:rsidTr="008A5D56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Szymanów</w:t>
            </w:r>
          </w:p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 Nr SW1S/00026396/6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 ha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5D56" w:rsidRDefault="008A5D5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 mieszkalny nr 4 położony</w:t>
            </w:r>
          </w:p>
          <w:p w:rsidR="008A5D56" w:rsidRDefault="008A5D5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budynku Szymanów 36. Powierzchnia użytkowa 73,75 m2, składa się</w:t>
            </w:r>
          </w:p>
          <w:p w:rsidR="008A5D56" w:rsidRDefault="008A5D5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3 pokoi, kuchni, łazienki z </w:t>
            </w:r>
            <w:proofErr w:type="spellStart"/>
            <w:r>
              <w:rPr>
                <w:sz w:val="20"/>
                <w:szCs w:val="20"/>
              </w:rPr>
              <w:t>wc</w:t>
            </w:r>
            <w:proofErr w:type="spellEnd"/>
            <w:r>
              <w:rPr>
                <w:sz w:val="20"/>
                <w:szCs w:val="20"/>
              </w:rPr>
              <w:t>. Usytuowany na</w:t>
            </w:r>
          </w:p>
          <w:p w:rsidR="008A5D56" w:rsidRDefault="008A5D5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piętrze budynku.</w:t>
            </w:r>
          </w:p>
          <w:p w:rsidR="008A5D56" w:rsidRDefault="008A5D5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pomieszczeń przynależnych.</w:t>
            </w:r>
          </w:p>
          <w:p w:rsidR="008A5D56" w:rsidRDefault="008A5D5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w częściach wspólnych</w:t>
            </w:r>
          </w:p>
          <w:p w:rsidR="008A5D56" w:rsidRDefault="008A5D5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prawie własności gruntu: 2185/10000.</w:t>
            </w:r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5D56" w:rsidRPr="008A5D56" w:rsidRDefault="008A5D56" w:rsidP="008A5D56">
            <w:pPr>
              <w:pStyle w:val="TableContents"/>
              <w:jc w:val="center"/>
              <w:rPr>
                <w:sz w:val="20"/>
                <w:szCs w:val="20"/>
              </w:rPr>
            </w:pPr>
            <w:r w:rsidRPr="008A5D56">
              <w:rPr>
                <w:sz w:val="20"/>
                <w:szCs w:val="20"/>
              </w:rPr>
              <w:t xml:space="preserve">MW2 </w:t>
            </w:r>
          </w:p>
          <w:p w:rsidR="008A5D56" w:rsidRDefault="008A5D56" w:rsidP="008A5D56">
            <w:pPr>
              <w:pStyle w:val="TableContents"/>
              <w:jc w:val="center"/>
              <w:rPr>
                <w:sz w:val="20"/>
                <w:szCs w:val="20"/>
              </w:rPr>
            </w:pPr>
            <w:r w:rsidRPr="008A5D56">
              <w:rPr>
                <w:sz w:val="20"/>
                <w:szCs w:val="20"/>
              </w:rPr>
              <w:t>Tereny zabudowy mieszkaniowej wielorodzinnej</w:t>
            </w:r>
          </w:p>
          <w:p w:rsidR="008A5D56" w:rsidRDefault="008A5D56" w:rsidP="008A5D56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8A5D56" w:rsidRPr="008A5D56" w:rsidRDefault="008A5D56" w:rsidP="008A5D56">
            <w:pPr>
              <w:pStyle w:val="TableContents"/>
              <w:jc w:val="center"/>
              <w:rPr>
                <w:sz w:val="20"/>
                <w:szCs w:val="20"/>
              </w:rPr>
            </w:pPr>
            <w:r w:rsidRPr="008A5D56">
              <w:rPr>
                <w:sz w:val="20"/>
                <w:szCs w:val="20"/>
              </w:rPr>
              <w:t>Nieprzekraczalne linie zabudowy</w:t>
            </w:r>
            <w:r>
              <w:rPr>
                <w:sz w:val="20"/>
                <w:szCs w:val="20"/>
              </w:rPr>
              <w:t>;</w:t>
            </w:r>
          </w:p>
          <w:p w:rsidR="008A5D56" w:rsidRPr="008A5D56" w:rsidRDefault="008A5D56" w:rsidP="008A5D56">
            <w:pPr>
              <w:pStyle w:val="TableContents"/>
              <w:jc w:val="center"/>
              <w:rPr>
                <w:sz w:val="20"/>
                <w:szCs w:val="20"/>
              </w:rPr>
            </w:pPr>
            <w:r w:rsidRPr="008A5D56">
              <w:rPr>
                <w:sz w:val="20"/>
                <w:szCs w:val="20"/>
              </w:rPr>
              <w:t>Strefa obserwacji archeologicznej</w:t>
            </w:r>
            <w:r>
              <w:rPr>
                <w:sz w:val="20"/>
                <w:szCs w:val="20"/>
              </w:rPr>
              <w:t>;</w:t>
            </w:r>
          </w:p>
          <w:p w:rsidR="008A5D56" w:rsidRDefault="008A5D56" w:rsidP="008A5D56">
            <w:pPr>
              <w:pStyle w:val="TableContents"/>
              <w:jc w:val="center"/>
              <w:rPr>
                <w:sz w:val="20"/>
                <w:szCs w:val="20"/>
              </w:rPr>
            </w:pPr>
            <w:r w:rsidRPr="008A5D56">
              <w:rPr>
                <w:sz w:val="20"/>
                <w:szCs w:val="20"/>
              </w:rPr>
              <w:t>Strefa ochrony układu ruralistycznego wsi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Tryb bezprzetargowy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5D56" w:rsidRDefault="008A5D5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119 700,00 zł</w:t>
            </w:r>
          </w:p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wartość prawa własności ułamkowej części gruntu</w:t>
            </w:r>
          </w:p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35 600,00 zł</w:t>
            </w:r>
          </w:p>
        </w:tc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 zawarciem aktu notarialnego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Udzielenie bonifikaty na podstawie uchwały XXVI/162/04 Rady Gminy Dobromierz</w:t>
            </w:r>
            <w:r>
              <w:rPr>
                <w:sz w:val="20"/>
                <w:szCs w:val="20"/>
              </w:rPr>
              <w:br/>
              <w:t>z dnia 30 września 2004 r. oraz uchwały Nr VI/34/11 Rady Gminy Dobromierz z dnia 23 marca 2011 r.</w:t>
            </w:r>
          </w:p>
        </w:tc>
      </w:tr>
    </w:tbl>
    <w:p w:rsidR="008A5D56" w:rsidRDefault="008A5D56" w:rsidP="008A5D56">
      <w:pPr>
        <w:pStyle w:val="Standard"/>
        <w:jc w:val="both"/>
        <w:rPr>
          <w:sz w:val="20"/>
          <w:szCs w:val="20"/>
        </w:rPr>
      </w:pPr>
    </w:p>
    <w:p w:rsidR="008A5D56" w:rsidRDefault="008A5D56" w:rsidP="008A5D56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Osoby fizyczne i prawne, którym przysługuje pierwszeństwo w nabyciu w/w nieruchomości na podstawie art. 34 ust. 1 pkt 1 i 2 ustawy z dnia 21.08.1997 r. o gospodarce nieruchomościami mogą składać wnioski o jej nabycie w terminie 6 tygodni licząc od dnia wywieszenia wykazu. Pierwszeństwo przysługuje osobie, która spełnia jeden</w:t>
      </w:r>
      <w:r>
        <w:rPr>
          <w:sz w:val="20"/>
          <w:szCs w:val="20"/>
        </w:rPr>
        <w:br/>
        <w:t>z następujących warunków:</w:t>
      </w:r>
    </w:p>
    <w:p w:rsidR="008A5D56" w:rsidRDefault="008A5D56" w:rsidP="008A5D56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art. 34 ust. 1 pkt 1 – przysługuje jej roszczenie o nabycie nieruchomości z mocy niniejszej ustawy lub odrębnych przepisów;</w:t>
      </w:r>
    </w:p>
    <w:p w:rsidR="008A5D56" w:rsidRDefault="008A5D56" w:rsidP="008A5D56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art. 34 ust. 1 pkt 2 – jest poprzednim właścicielem zbywanej nieruchomości pozbawionym prawa własności tej nieruchomości przed 5 grudnia 1990 r. albo jego spadkobiercą</w:t>
      </w:r>
      <w:r w:rsidR="00B72E88">
        <w:rPr>
          <w:sz w:val="20"/>
          <w:szCs w:val="20"/>
        </w:rPr>
        <w:t>;</w:t>
      </w:r>
    </w:p>
    <w:p w:rsidR="00B72E88" w:rsidRDefault="00B72E88" w:rsidP="00B72E88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art. 34 ust. 1 pkt 3 - jest najemcą lokalu mieszkalnego, a najem został nawiązany na czas nieoznaczony.</w:t>
      </w:r>
    </w:p>
    <w:p w:rsidR="00B72E88" w:rsidRDefault="00B72E88" w:rsidP="008A5D56">
      <w:pPr>
        <w:pStyle w:val="Standard"/>
        <w:jc w:val="both"/>
        <w:rPr>
          <w:sz w:val="20"/>
          <w:szCs w:val="20"/>
        </w:rPr>
      </w:pPr>
    </w:p>
    <w:p w:rsidR="008A5D56" w:rsidRDefault="008A5D56" w:rsidP="008A5D56">
      <w:pPr>
        <w:pStyle w:val="Standard"/>
        <w:jc w:val="both"/>
        <w:rPr>
          <w:sz w:val="20"/>
          <w:szCs w:val="20"/>
        </w:rPr>
      </w:pPr>
    </w:p>
    <w:p w:rsidR="008A5D56" w:rsidRDefault="008A5D56" w:rsidP="008A5D56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Wykaz podaje się do publicznej wiadomości poprzez wywieszenie na tablicy ogłoszeń i umieszczenia na stronie internetowej Urzędu Gminy Dobromierz na okres 21 dni tj. od dnia </w:t>
      </w:r>
      <w:r w:rsidR="00DD648A">
        <w:rPr>
          <w:sz w:val="20"/>
          <w:szCs w:val="20"/>
        </w:rPr>
        <w:t>17.05.2023 r. do 07.06.2023 r.</w:t>
      </w:r>
    </w:p>
    <w:p w:rsidR="00DD648A" w:rsidRDefault="00DD648A" w:rsidP="008A5D56">
      <w:pPr>
        <w:pStyle w:val="Standard"/>
        <w:jc w:val="both"/>
        <w:rPr>
          <w:sz w:val="20"/>
          <w:szCs w:val="20"/>
        </w:rPr>
      </w:pPr>
    </w:p>
    <w:p w:rsidR="00DD648A" w:rsidRDefault="00DD648A" w:rsidP="00DD648A">
      <w:pPr>
        <w:pStyle w:val="Standard"/>
        <w:ind w:firstLine="10348"/>
        <w:jc w:val="both"/>
        <w:rPr>
          <w:sz w:val="20"/>
          <w:szCs w:val="20"/>
        </w:rPr>
      </w:pPr>
      <w:r>
        <w:rPr>
          <w:sz w:val="20"/>
          <w:szCs w:val="20"/>
        </w:rPr>
        <w:t>WÓJT</w:t>
      </w:r>
    </w:p>
    <w:p w:rsidR="00DD648A" w:rsidRPr="00DD648A" w:rsidRDefault="00DD648A" w:rsidP="00DD648A">
      <w:pPr>
        <w:pStyle w:val="Standard"/>
        <w:ind w:firstLine="9923"/>
        <w:jc w:val="both"/>
        <w:rPr>
          <w:i/>
          <w:iCs/>
          <w:sz w:val="20"/>
          <w:szCs w:val="20"/>
        </w:rPr>
      </w:pPr>
      <w:r w:rsidRPr="00DD648A">
        <w:rPr>
          <w:i/>
          <w:iCs/>
          <w:sz w:val="20"/>
          <w:szCs w:val="20"/>
        </w:rPr>
        <w:t xml:space="preserve">(-) Jerzy </w:t>
      </w:r>
      <w:proofErr w:type="spellStart"/>
      <w:r w:rsidRPr="00DD648A">
        <w:rPr>
          <w:i/>
          <w:iCs/>
          <w:sz w:val="20"/>
          <w:szCs w:val="20"/>
        </w:rPr>
        <w:t>Ulbin</w:t>
      </w:r>
      <w:proofErr w:type="spellEnd"/>
    </w:p>
    <w:p w:rsidR="00D228B9" w:rsidRDefault="00D228B9"/>
    <w:sectPr w:rsidR="00D228B9" w:rsidSect="008A5D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56"/>
    <w:rsid w:val="00786708"/>
    <w:rsid w:val="008A5D56"/>
    <w:rsid w:val="00B72E88"/>
    <w:rsid w:val="00D228B9"/>
    <w:rsid w:val="00D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4950"/>
  <w15:chartTrackingRefBased/>
  <w15:docId w15:val="{42F41DE2-173D-4654-9B0C-B43BD5D9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D5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5D5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8A5D5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Kargol</dc:creator>
  <cp:keywords/>
  <dc:description/>
  <cp:lastModifiedBy>Klaudia Kargol</cp:lastModifiedBy>
  <cp:revision>5</cp:revision>
  <dcterms:created xsi:type="dcterms:W3CDTF">2023-05-16T08:15:00Z</dcterms:created>
  <dcterms:modified xsi:type="dcterms:W3CDTF">2023-05-17T06:23:00Z</dcterms:modified>
</cp:coreProperties>
</file>